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ECA" w:rsidRDefault="00EF7ECA" w:rsidP="003A0789">
      <w:pPr>
        <w:spacing w:after="0"/>
        <w:jc w:val="center"/>
      </w:pPr>
    </w:p>
    <w:p w:rsidR="00EF7ECA" w:rsidRDefault="00EF7ECA" w:rsidP="003A0789">
      <w:pPr>
        <w:spacing w:after="0"/>
        <w:jc w:val="center"/>
      </w:pPr>
    </w:p>
    <w:p w:rsidR="00EF7ECA" w:rsidRDefault="00EF7ECA" w:rsidP="003A0789">
      <w:pPr>
        <w:spacing w:after="0"/>
        <w:jc w:val="center"/>
      </w:pPr>
    </w:p>
    <w:p w:rsidR="00EF7ECA" w:rsidRDefault="00EF7ECA" w:rsidP="003A0789">
      <w:pPr>
        <w:spacing w:after="0"/>
        <w:jc w:val="center"/>
      </w:pPr>
    </w:p>
    <w:p w:rsidR="003A0789" w:rsidRDefault="003A0789" w:rsidP="003A0789">
      <w:pPr>
        <w:spacing w:after="0"/>
        <w:jc w:val="center"/>
      </w:pPr>
    </w:p>
    <w:p w:rsidR="003A0789" w:rsidRDefault="003A0789" w:rsidP="003A0789">
      <w:pPr>
        <w:spacing w:after="0"/>
        <w:jc w:val="center"/>
      </w:pPr>
    </w:p>
    <w:p w:rsidR="00EF7ECA" w:rsidRDefault="00EF7ECA" w:rsidP="003A0789">
      <w:pPr>
        <w:spacing w:after="0"/>
        <w:jc w:val="center"/>
      </w:pPr>
    </w:p>
    <w:p w:rsidR="00EF7ECA" w:rsidRDefault="003A0789" w:rsidP="003A0789">
      <w:pPr>
        <w:spacing w:after="0"/>
        <w:ind w:firstLine="0"/>
        <w:jc w:val="center"/>
      </w:pPr>
      <w:r>
        <w:t>Price Floor &amp; Ceiling</w:t>
      </w:r>
    </w:p>
    <w:p w:rsidR="00EF7ECA" w:rsidRDefault="003A0789" w:rsidP="003A0789">
      <w:pPr>
        <w:spacing w:after="0"/>
        <w:ind w:firstLine="0"/>
        <w:jc w:val="center"/>
      </w:pPr>
      <w:r>
        <w:t>Student’s Name:</w:t>
      </w:r>
    </w:p>
    <w:p w:rsidR="003A0789" w:rsidRDefault="003A0789" w:rsidP="003A0789">
      <w:pPr>
        <w:spacing w:after="0"/>
        <w:ind w:firstLine="0"/>
        <w:jc w:val="center"/>
      </w:pPr>
      <w:r>
        <w:t xml:space="preserve">Institutional Affiliation </w:t>
      </w:r>
    </w:p>
    <w:p w:rsidR="003A0789" w:rsidRDefault="003A0789" w:rsidP="003A0789">
      <w:pPr>
        <w:spacing w:after="0"/>
        <w:ind w:firstLine="0"/>
      </w:pPr>
      <w:r>
        <w:br w:type="page"/>
      </w:r>
    </w:p>
    <w:p w:rsidR="003A0789" w:rsidRDefault="003A0789" w:rsidP="00805D1D">
      <w:pPr>
        <w:spacing w:after="0"/>
        <w:ind w:firstLine="0"/>
        <w:jc w:val="center"/>
      </w:pPr>
      <w:r>
        <w:lastRenderedPageBreak/>
        <w:t>Price Floor &amp; Ceiling</w:t>
      </w:r>
    </w:p>
    <w:p w:rsidR="003A0789" w:rsidRDefault="003A0789" w:rsidP="00805D1D">
      <w:pPr>
        <w:spacing w:after="0"/>
        <w:jc w:val="both"/>
      </w:pPr>
      <w:r>
        <w:t xml:space="preserve">One fundamental characteristic of a free market is the limitation on the government in which participants exercise their free will in determining the prices for their goods and their availability thereof (Bauman, 2017). However, this hands-off approach often leads to exploitation of the consumer and producers alike, due to reasons such as monopoly and coalition between sellers among others. To protect the affected parties, most governments often implement price ceilings and floor which restrict the degree to which the prices could fluctuate on the maximum and minimum. </w:t>
      </w:r>
    </w:p>
    <w:p w:rsidR="003A0789" w:rsidRDefault="003A0789" w:rsidP="00805D1D">
      <w:pPr>
        <w:spacing w:after="0"/>
        <w:jc w:val="both"/>
      </w:pPr>
      <w:r>
        <w:t xml:space="preserve">Urbanization, desirable as it is, often drags along rural-to-urban migration hence increasing the number of dwellers within the cities. Unfortunately, these increased populous put a strain on the few available housing, making the prices to increase due to the increase in demand, as stipulated in the law of supply. This often provides an incentive for landlords and homeowners to raise the rent, at times to exorbitantly. As a consequence, Coyne, Booth, Miller, and Wellings (2015) state that the government may intervene through the establishment of price ceilings which would restrict landlords from charging higher than the stipulated price. </w:t>
      </w:r>
    </w:p>
    <w:p w:rsidR="003A0789" w:rsidRDefault="003A0789" w:rsidP="00805D1D">
      <w:pPr>
        <w:spacing w:after="0"/>
        <w:jc w:val="both"/>
      </w:pPr>
      <w:r>
        <w:t xml:space="preserve">Canada is a case of a nation with a rent ceiling, and this paper will focus on Ontario’s rent control policy.  According to Dachis (2018), the Residential Tenancies Act stated that homeowners, developers, and landlords within the state could not increase the rental cost of their units by more than 1.5% of the current years’ rent. Nonetheless, this decree exempted three classes of tenancies; condominium units, private apartments and housing units constructed and set up for rent after November 1st, 1991. Fortunately, several amendments made in 2006 which created the Fair Housing Plan applied a rollback on the existing exemptions such that, effective April 20th, </w:t>
      </w:r>
      <w:r>
        <w:lastRenderedPageBreak/>
        <w:t>2017, all the units under exception were now subjected to the same law regarding rent control, fixed at 1.8% between January 1st and December 31st, 2018.</w:t>
      </w:r>
    </w:p>
    <w:p w:rsidR="003A0789" w:rsidRDefault="003A0789" w:rsidP="00805D1D">
      <w:pPr>
        <w:spacing w:after="0"/>
        <w:jc w:val="both"/>
      </w:pPr>
      <w:r>
        <w:t xml:space="preserve">Accordingly, the government’s main aim was to eliminate the unfair treatment and arbitrary rent increases which the homeowners under the exempted category forced on their tenants leading to increased homelessness. </w:t>
      </w:r>
    </w:p>
    <w:p w:rsidR="003A0789" w:rsidRDefault="003A0789" w:rsidP="00805D1D">
      <w:pPr>
        <w:spacing w:after="0"/>
        <w:jc w:val="both"/>
      </w:pPr>
      <w:r>
        <w:t>To comprehend the effects of this policy efficiently, it would be prudent to analyze them using consumer, producer and total surplus as stipulated by Bennett &amp; Chioveanu, (2016). Referring to the variance between uppermost prices a consumer can pay willingly and the exact market price of the house, the rent ceiling will raise consumer surplus.  Given that this rent ceiling has been fixed below the market price, it reduces producer surplus which denotes the supply variance between the amounts of housing units the producer will avail in the market against the income he will receive if he avails the units. Consequently, total surplus, which indicates the summation of a consumers’ surplus to that of a producer, will reduce in light of the lower rent cost in relation to the market equilibrium price. Similarly, the reduction will be as a result of a shortage in the housing unit.</w:t>
      </w:r>
    </w:p>
    <w:p w:rsidR="003A0789" w:rsidRDefault="003A0789" w:rsidP="00805D1D">
      <w:pPr>
        <w:spacing w:after="0"/>
        <w:jc w:val="both"/>
      </w:pPr>
      <w:r>
        <w:t xml:space="preserve">To counter the effects of the rent ceiling, Diamond, McQuade &amp; Qian (2018) state that landlords and homeowners may devise interesting mechanisms to circumvent this policy. A significant reduction or complete elimination of the maintenance services to the existing tenants would be an example with their justification being that the rent charged is not inclusive of any maintenance cost. Similarly, increased security deposits would be an alternative mechanism to supplement their income with their defense being the impressive bargain on good apartments. Along the same line will be the subletting issue, where some landlords may conspire with their </w:t>
      </w:r>
      <w:r>
        <w:lastRenderedPageBreak/>
        <w:t xml:space="preserve">tenants to sublet their units at exorbitant prices, thereby recovering their stifled income. Finally, the recruitment of illegal and undocumented tenants may be another means. </w:t>
      </w:r>
      <w:r>
        <w:br w:type="page"/>
      </w:r>
    </w:p>
    <w:p w:rsidR="00A1441A" w:rsidRDefault="006B7203" w:rsidP="003A0789">
      <w:pPr>
        <w:spacing w:after="0"/>
        <w:jc w:val="center"/>
      </w:pPr>
      <w:r>
        <w:lastRenderedPageBreak/>
        <w:t xml:space="preserve">References </w:t>
      </w:r>
    </w:p>
    <w:p w:rsidR="003A0789" w:rsidRPr="00C5674E" w:rsidRDefault="003A0789" w:rsidP="003A0789">
      <w:pPr>
        <w:spacing w:after="0"/>
        <w:ind w:left="720" w:hanging="720"/>
        <w:rPr>
          <w:szCs w:val="24"/>
          <w:shd w:val="clear" w:color="auto" w:fill="FFFFFF"/>
        </w:rPr>
      </w:pPr>
      <w:r w:rsidRPr="00C5674E">
        <w:rPr>
          <w:szCs w:val="24"/>
          <w:shd w:val="clear" w:color="auto" w:fill="FFFFFF"/>
        </w:rPr>
        <w:t>Bauman, D. (2017). Integrity and justice: what is requir</w:t>
      </w:r>
      <w:r>
        <w:rPr>
          <w:szCs w:val="24"/>
          <w:shd w:val="clear" w:color="auto" w:fill="FFFFFF"/>
        </w:rPr>
        <w:t>ed of free market participants?</w:t>
      </w:r>
      <w:r w:rsidRPr="00C5674E">
        <w:rPr>
          <w:szCs w:val="24"/>
          <w:shd w:val="clear" w:color="auto" w:fill="FFFFFF"/>
        </w:rPr>
        <w:t> </w:t>
      </w:r>
      <w:r w:rsidRPr="00C5674E">
        <w:rPr>
          <w:i/>
          <w:iCs/>
          <w:szCs w:val="24"/>
          <w:shd w:val="clear" w:color="auto" w:fill="FFFFFF"/>
        </w:rPr>
        <w:t>Palgrave Communications</w:t>
      </w:r>
      <w:r w:rsidRPr="00C5674E">
        <w:rPr>
          <w:szCs w:val="24"/>
          <w:shd w:val="clear" w:color="auto" w:fill="FFFFFF"/>
        </w:rPr>
        <w:t>, </w:t>
      </w:r>
      <w:r w:rsidRPr="00C5674E">
        <w:rPr>
          <w:i/>
          <w:iCs/>
          <w:szCs w:val="24"/>
          <w:shd w:val="clear" w:color="auto" w:fill="FFFFFF"/>
        </w:rPr>
        <w:t>3</w:t>
      </w:r>
      <w:r w:rsidRPr="00C5674E">
        <w:rPr>
          <w:szCs w:val="24"/>
          <w:shd w:val="clear" w:color="auto" w:fill="FFFFFF"/>
        </w:rPr>
        <w:t>, 17046.</w:t>
      </w:r>
    </w:p>
    <w:p w:rsidR="003A0789" w:rsidRPr="00C5674E" w:rsidRDefault="003A0789" w:rsidP="003A0789">
      <w:pPr>
        <w:spacing w:after="0"/>
        <w:ind w:left="720" w:hanging="720"/>
        <w:rPr>
          <w:szCs w:val="24"/>
          <w:shd w:val="clear" w:color="auto" w:fill="FFFFFF"/>
        </w:rPr>
      </w:pPr>
      <w:r w:rsidRPr="00C5674E">
        <w:rPr>
          <w:szCs w:val="24"/>
          <w:shd w:val="clear" w:color="auto" w:fill="FFFFFF"/>
        </w:rPr>
        <w:t>Bennett, J., &amp; Chioveanu, I. (2016). Pro</w:t>
      </w:r>
      <w:r w:rsidRPr="00C5674E">
        <w:rPr>
          <w:rFonts w:ascii="Cambria Math" w:hAnsi="Cambria Math" w:cs="Cambria Math"/>
          <w:szCs w:val="24"/>
          <w:shd w:val="clear" w:color="auto" w:fill="FFFFFF"/>
        </w:rPr>
        <w:t>‐</w:t>
      </w:r>
      <w:r w:rsidRPr="00C5674E">
        <w:rPr>
          <w:szCs w:val="24"/>
          <w:shd w:val="clear" w:color="auto" w:fill="FFFFFF"/>
        </w:rPr>
        <w:t>Consumer Price Ceilings under Regulatory Uncertainty. </w:t>
      </w:r>
      <w:r w:rsidRPr="00C5674E">
        <w:rPr>
          <w:i/>
          <w:iCs/>
          <w:szCs w:val="24"/>
          <w:shd w:val="clear" w:color="auto" w:fill="FFFFFF"/>
        </w:rPr>
        <w:t>The Scandinavian Journal of Economics</w:t>
      </w:r>
      <w:r w:rsidRPr="00C5674E">
        <w:rPr>
          <w:szCs w:val="24"/>
          <w:shd w:val="clear" w:color="auto" w:fill="FFFFFF"/>
        </w:rPr>
        <w:t>.</w:t>
      </w:r>
    </w:p>
    <w:p w:rsidR="003A0789" w:rsidRPr="00C5674E" w:rsidRDefault="003A0789" w:rsidP="003A0789">
      <w:pPr>
        <w:spacing w:after="0"/>
        <w:ind w:left="720" w:hanging="720"/>
        <w:rPr>
          <w:szCs w:val="24"/>
          <w:shd w:val="clear" w:color="auto" w:fill="FFFFFF"/>
        </w:rPr>
      </w:pPr>
      <w:r w:rsidRPr="00C5674E">
        <w:rPr>
          <w:szCs w:val="24"/>
          <w:shd w:val="clear" w:color="auto" w:fill="FFFFFF"/>
        </w:rPr>
        <w:t>Dachis, B. (2018). Fiscal Soundness and Economic Growth: An Economic Program for Ontario.</w:t>
      </w:r>
    </w:p>
    <w:p w:rsidR="003A0789" w:rsidRPr="00C5674E" w:rsidRDefault="003A0789" w:rsidP="003A0789">
      <w:pPr>
        <w:spacing w:after="0"/>
        <w:ind w:left="720" w:hanging="720"/>
        <w:rPr>
          <w:szCs w:val="24"/>
        </w:rPr>
      </w:pPr>
      <w:r w:rsidRPr="00C5674E">
        <w:rPr>
          <w:szCs w:val="24"/>
          <w:shd w:val="clear" w:color="auto" w:fill="FFFFFF"/>
        </w:rPr>
        <w:t>Diamond, R., McQuade, T., &amp; Qian, F. (2018). </w:t>
      </w:r>
      <w:r w:rsidRPr="00C5674E">
        <w:rPr>
          <w:i/>
          <w:iCs/>
          <w:szCs w:val="24"/>
          <w:shd w:val="clear" w:color="auto" w:fill="FFFFFF"/>
        </w:rPr>
        <w:t>The effects of rent control expansion on tenants, landlords, and inequality: Evidence from San Francisco</w:t>
      </w:r>
      <w:r w:rsidRPr="00C5674E">
        <w:rPr>
          <w:szCs w:val="24"/>
          <w:shd w:val="clear" w:color="auto" w:fill="FFFFFF"/>
        </w:rPr>
        <w:t> (No. w24181). National Bureau of Economic Research.</w:t>
      </w:r>
      <w:bookmarkStart w:id="0" w:name="_GoBack"/>
      <w:bookmarkEnd w:id="0"/>
    </w:p>
    <w:sectPr w:rsidR="003A0789" w:rsidRPr="00C5674E" w:rsidSect="00EF7E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155" w:rsidRDefault="00A44155" w:rsidP="00EF7ECA">
      <w:pPr>
        <w:spacing w:after="0" w:line="240" w:lineRule="auto"/>
      </w:pPr>
      <w:r>
        <w:separator/>
      </w:r>
    </w:p>
  </w:endnote>
  <w:endnote w:type="continuationSeparator" w:id="0">
    <w:p w:rsidR="00A44155" w:rsidRDefault="00A44155" w:rsidP="00EF7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155" w:rsidRDefault="00A44155" w:rsidP="00EF7ECA">
      <w:pPr>
        <w:spacing w:after="0" w:line="240" w:lineRule="auto"/>
      </w:pPr>
      <w:r>
        <w:separator/>
      </w:r>
    </w:p>
  </w:footnote>
  <w:footnote w:type="continuationSeparator" w:id="0">
    <w:p w:rsidR="00A44155" w:rsidRDefault="00A44155" w:rsidP="00EF7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789" w:rsidRDefault="003A0789" w:rsidP="003A0789">
    <w:pPr>
      <w:pStyle w:val="Header"/>
      <w:ind w:firstLine="0"/>
    </w:pPr>
    <w:r>
      <w:t>PRICE FLOOR &amp; CEILING:</w:t>
    </w:r>
    <w:r>
      <w:tab/>
    </w:r>
    <w:r>
      <w:tab/>
      <w:t xml:space="preserve"> </w:t>
    </w:r>
    <w:sdt>
      <w:sdtPr>
        <w:id w:val="-1177184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2647">
          <w:rPr>
            <w:noProof/>
          </w:rPr>
          <w:t>5</w:t>
        </w:r>
        <w:r>
          <w:rPr>
            <w:noProof/>
          </w:rPr>
          <w:fldChar w:fldCharType="end"/>
        </w:r>
      </w:sdtContent>
    </w:sdt>
  </w:p>
  <w:p w:rsidR="00EF7ECA" w:rsidRDefault="00EF7ECA" w:rsidP="003A0789">
    <w:pPr>
      <w:pStyle w:val="Heade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CA" w:rsidRDefault="00EF7ECA" w:rsidP="003A0789">
    <w:pPr>
      <w:pStyle w:val="Header"/>
      <w:ind w:firstLine="0"/>
    </w:pPr>
    <w:r>
      <w:t xml:space="preserve">Running </w:t>
    </w:r>
    <w:r w:rsidR="003A0789">
      <w:t>head: PRICE FLOOR &amp; CEILING:</w:t>
    </w:r>
    <w:r w:rsidR="003A0789">
      <w:tab/>
    </w:r>
    <w:r w:rsidR="003A0789">
      <w:tab/>
      <w:t xml:space="preserve"> </w:t>
    </w:r>
    <w:sdt>
      <w:sdtPr>
        <w:id w:val="-6491280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5D1D">
          <w:rPr>
            <w:noProof/>
          </w:rPr>
          <w:t>1</w:t>
        </w:r>
        <w:r>
          <w:rPr>
            <w:noProof/>
          </w:rPr>
          <w:fldChar w:fldCharType="end"/>
        </w:r>
      </w:sdtContent>
    </w:sdt>
  </w:p>
  <w:p w:rsidR="00EF7ECA" w:rsidRDefault="00EF7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ECA"/>
    <w:rsid w:val="00011450"/>
    <w:rsid w:val="0001461C"/>
    <w:rsid w:val="00025B0C"/>
    <w:rsid w:val="00050D17"/>
    <w:rsid w:val="000521AF"/>
    <w:rsid w:val="00052C83"/>
    <w:rsid w:val="00071A12"/>
    <w:rsid w:val="000962B8"/>
    <w:rsid w:val="000A2F6F"/>
    <w:rsid w:val="000C17E1"/>
    <w:rsid w:val="000C3A9B"/>
    <w:rsid w:val="000C7E38"/>
    <w:rsid w:val="000D7032"/>
    <w:rsid w:val="000D7B56"/>
    <w:rsid w:val="000E7045"/>
    <w:rsid w:val="00102D92"/>
    <w:rsid w:val="00103C39"/>
    <w:rsid w:val="00114830"/>
    <w:rsid w:val="00121A3C"/>
    <w:rsid w:val="00143FBC"/>
    <w:rsid w:val="001465B3"/>
    <w:rsid w:val="00156160"/>
    <w:rsid w:val="00156D70"/>
    <w:rsid w:val="001659EC"/>
    <w:rsid w:val="00177CC1"/>
    <w:rsid w:val="00187BBF"/>
    <w:rsid w:val="001B2DFD"/>
    <w:rsid w:val="001C2317"/>
    <w:rsid w:val="001C3439"/>
    <w:rsid w:val="001D1341"/>
    <w:rsid w:val="001D43A1"/>
    <w:rsid w:val="001D6659"/>
    <w:rsid w:val="001E0D29"/>
    <w:rsid w:val="001E23F3"/>
    <w:rsid w:val="001F6F90"/>
    <w:rsid w:val="00205856"/>
    <w:rsid w:val="0021320D"/>
    <w:rsid w:val="00214C8E"/>
    <w:rsid w:val="0025498F"/>
    <w:rsid w:val="002636CE"/>
    <w:rsid w:val="00271C6A"/>
    <w:rsid w:val="00273629"/>
    <w:rsid w:val="00275E26"/>
    <w:rsid w:val="00277353"/>
    <w:rsid w:val="002A0C4D"/>
    <w:rsid w:val="002B0036"/>
    <w:rsid w:val="002B7D2B"/>
    <w:rsid w:val="002D6544"/>
    <w:rsid w:val="002E4EA6"/>
    <w:rsid w:val="002E6AE6"/>
    <w:rsid w:val="00300CAD"/>
    <w:rsid w:val="00301DB8"/>
    <w:rsid w:val="00332D8A"/>
    <w:rsid w:val="00343CDD"/>
    <w:rsid w:val="00361DC2"/>
    <w:rsid w:val="0036539C"/>
    <w:rsid w:val="003679D3"/>
    <w:rsid w:val="00371093"/>
    <w:rsid w:val="0037239F"/>
    <w:rsid w:val="0038163E"/>
    <w:rsid w:val="003A0789"/>
    <w:rsid w:val="003C08C6"/>
    <w:rsid w:val="003D01A1"/>
    <w:rsid w:val="003D1223"/>
    <w:rsid w:val="003D76D2"/>
    <w:rsid w:val="003F3918"/>
    <w:rsid w:val="003F3CB9"/>
    <w:rsid w:val="00426795"/>
    <w:rsid w:val="00452512"/>
    <w:rsid w:val="00454DD4"/>
    <w:rsid w:val="00455EE1"/>
    <w:rsid w:val="00461AC5"/>
    <w:rsid w:val="00471D82"/>
    <w:rsid w:val="00485610"/>
    <w:rsid w:val="00490061"/>
    <w:rsid w:val="004929FB"/>
    <w:rsid w:val="004A183D"/>
    <w:rsid w:val="004A671A"/>
    <w:rsid w:val="004B2D87"/>
    <w:rsid w:val="004C1C44"/>
    <w:rsid w:val="004D5609"/>
    <w:rsid w:val="004D76B6"/>
    <w:rsid w:val="004E324A"/>
    <w:rsid w:val="004E4AAD"/>
    <w:rsid w:val="004E6C99"/>
    <w:rsid w:val="00506FA3"/>
    <w:rsid w:val="005420FF"/>
    <w:rsid w:val="005716DA"/>
    <w:rsid w:val="0057487C"/>
    <w:rsid w:val="005969D6"/>
    <w:rsid w:val="005A1987"/>
    <w:rsid w:val="005A240B"/>
    <w:rsid w:val="005B0639"/>
    <w:rsid w:val="005B7224"/>
    <w:rsid w:val="005C31CA"/>
    <w:rsid w:val="005C5600"/>
    <w:rsid w:val="005C5A60"/>
    <w:rsid w:val="005D1A25"/>
    <w:rsid w:val="005D6E8E"/>
    <w:rsid w:val="005F26FD"/>
    <w:rsid w:val="005F2AED"/>
    <w:rsid w:val="006033A8"/>
    <w:rsid w:val="00610A2E"/>
    <w:rsid w:val="00611CF0"/>
    <w:rsid w:val="00624F27"/>
    <w:rsid w:val="0063267A"/>
    <w:rsid w:val="006346A7"/>
    <w:rsid w:val="00646781"/>
    <w:rsid w:val="006510D5"/>
    <w:rsid w:val="006534A1"/>
    <w:rsid w:val="00656752"/>
    <w:rsid w:val="00663DF0"/>
    <w:rsid w:val="00684955"/>
    <w:rsid w:val="00685E41"/>
    <w:rsid w:val="00686583"/>
    <w:rsid w:val="006A5305"/>
    <w:rsid w:val="006B7203"/>
    <w:rsid w:val="006C4E02"/>
    <w:rsid w:val="006D0443"/>
    <w:rsid w:val="006D0BF1"/>
    <w:rsid w:val="006D5881"/>
    <w:rsid w:val="006D5E27"/>
    <w:rsid w:val="006D7887"/>
    <w:rsid w:val="006E20B8"/>
    <w:rsid w:val="00710007"/>
    <w:rsid w:val="00712634"/>
    <w:rsid w:val="00713B6F"/>
    <w:rsid w:val="007263A3"/>
    <w:rsid w:val="00726DA9"/>
    <w:rsid w:val="00733EE6"/>
    <w:rsid w:val="007345B2"/>
    <w:rsid w:val="00734E5E"/>
    <w:rsid w:val="007479F2"/>
    <w:rsid w:val="00752801"/>
    <w:rsid w:val="00763AE3"/>
    <w:rsid w:val="00770996"/>
    <w:rsid w:val="00770D49"/>
    <w:rsid w:val="00772E45"/>
    <w:rsid w:val="0079049C"/>
    <w:rsid w:val="00796710"/>
    <w:rsid w:val="007B21EE"/>
    <w:rsid w:val="007B6EAB"/>
    <w:rsid w:val="007B7A8A"/>
    <w:rsid w:val="007C4DAD"/>
    <w:rsid w:val="007D6CE4"/>
    <w:rsid w:val="007F0170"/>
    <w:rsid w:val="007F528B"/>
    <w:rsid w:val="007F7863"/>
    <w:rsid w:val="007F7BDF"/>
    <w:rsid w:val="007F7CCE"/>
    <w:rsid w:val="007F7DEE"/>
    <w:rsid w:val="00805D1D"/>
    <w:rsid w:val="00837C9E"/>
    <w:rsid w:val="00840448"/>
    <w:rsid w:val="008769E6"/>
    <w:rsid w:val="008859F7"/>
    <w:rsid w:val="008B586D"/>
    <w:rsid w:val="008C0E29"/>
    <w:rsid w:val="008C4FAC"/>
    <w:rsid w:val="008D2826"/>
    <w:rsid w:val="008F07A3"/>
    <w:rsid w:val="008F0DF6"/>
    <w:rsid w:val="008F408D"/>
    <w:rsid w:val="008F5DF2"/>
    <w:rsid w:val="008F7041"/>
    <w:rsid w:val="00930C74"/>
    <w:rsid w:val="00931A95"/>
    <w:rsid w:val="009373F3"/>
    <w:rsid w:val="009457E4"/>
    <w:rsid w:val="00951B78"/>
    <w:rsid w:val="009545A9"/>
    <w:rsid w:val="00980797"/>
    <w:rsid w:val="00991680"/>
    <w:rsid w:val="009A08B2"/>
    <w:rsid w:val="009C192E"/>
    <w:rsid w:val="009C299A"/>
    <w:rsid w:val="009C7364"/>
    <w:rsid w:val="009E1CCA"/>
    <w:rsid w:val="009F2B1B"/>
    <w:rsid w:val="009F54E4"/>
    <w:rsid w:val="009F696D"/>
    <w:rsid w:val="00A0123B"/>
    <w:rsid w:val="00A1441A"/>
    <w:rsid w:val="00A40891"/>
    <w:rsid w:val="00A42647"/>
    <w:rsid w:val="00A44155"/>
    <w:rsid w:val="00A45F42"/>
    <w:rsid w:val="00A6766A"/>
    <w:rsid w:val="00A95D8A"/>
    <w:rsid w:val="00AA057E"/>
    <w:rsid w:val="00AB04C5"/>
    <w:rsid w:val="00AB171A"/>
    <w:rsid w:val="00AB7AAE"/>
    <w:rsid w:val="00AD600D"/>
    <w:rsid w:val="00AF0341"/>
    <w:rsid w:val="00B10669"/>
    <w:rsid w:val="00B13163"/>
    <w:rsid w:val="00B218DD"/>
    <w:rsid w:val="00B262D6"/>
    <w:rsid w:val="00B27D74"/>
    <w:rsid w:val="00B5084F"/>
    <w:rsid w:val="00B52B65"/>
    <w:rsid w:val="00B618E5"/>
    <w:rsid w:val="00B7097A"/>
    <w:rsid w:val="00B86BA6"/>
    <w:rsid w:val="00B97E6E"/>
    <w:rsid w:val="00BA19D5"/>
    <w:rsid w:val="00BA3CBF"/>
    <w:rsid w:val="00BD6E15"/>
    <w:rsid w:val="00BD6F9B"/>
    <w:rsid w:val="00BF4275"/>
    <w:rsid w:val="00BF59D6"/>
    <w:rsid w:val="00BF63DD"/>
    <w:rsid w:val="00C162F6"/>
    <w:rsid w:val="00C35489"/>
    <w:rsid w:val="00C4072F"/>
    <w:rsid w:val="00C53262"/>
    <w:rsid w:val="00C5674E"/>
    <w:rsid w:val="00C56FAB"/>
    <w:rsid w:val="00C74DC8"/>
    <w:rsid w:val="00C80AA9"/>
    <w:rsid w:val="00C84AD0"/>
    <w:rsid w:val="00C857A5"/>
    <w:rsid w:val="00C92E36"/>
    <w:rsid w:val="00C942A4"/>
    <w:rsid w:val="00CA2729"/>
    <w:rsid w:val="00CB069B"/>
    <w:rsid w:val="00CE4521"/>
    <w:rsid w:val="00CF1AD4"/>
    <w:rsid w:val="00CF3E2F"/>
    <w:rsid w:val="00D01B79"/>
    <w:rsid w:val="00D021B2"/>
    <w:rsid w:val="00D04773"/>
    <w:rsid w:val="00D16094"/>
    <w:rsid w:val="00D55598"/>
    <w:rsid w:val="00D55EC5"/>
    <w:rsid w:val="00D70219"/>
    <w:rsid w:val="00D95F26"/>
    <w:rsid w:val="00DA0356"/>
    <w:rsid w:val="00DA0602"/>
    <w:rsid w:val="00DD07B3"/>
    <w:rsid w:val="00DD466C"/>
    <w:rsid w:val="00DE1CC8"/>
    <w:rsid w:val="00DE5519"/>
    <w:rsid w:val="00DF231E"/>
    <w:rsid w:val="00DF333B"/>
    <w:rsid w:val="00E006AD"/>
    <w:rsid w:val="00E01746"/>
    <w:rsid w:val="00E0398D"/>
    <w:rsid w:val="00E04BED"/>
    <w:rsid w:val="00E0740B"/>
    <w:rsid w:val="00E130BF"/>
    <w:rsid w:val="00E20FE8"/>
    <w:rsid w:val="00E233D2"/>
    <w:rsid w:val="00E44EE1"/>
    <w:rsid w:val="00E4568A"/>
    <w:rsid w:val="00E61DEA"/>
    <w:rsid w:val="00E647E7"/>
    <w:rsid w:val="00E761DC"/>
    <w:rsid w:val="00E77CBB"/>
    <w:rsid w:val="00EA571F"/>
    <w:rsid w:val="00EB0F8D"/>
    <w:rsid w:val="00EB1C48"/>
    <w:rsid w:val="00EB1D1D"/>
    <w:rsid w:val="00EB63A1"/>
    <w:rsid w:val="00EC3699"/>
    <w:rsid w:val="00ED1891"/>
    <w:rsid w:val="00EE0E63"/>
    <w:rsid w:val="00EF7ECA"/>
    <w:rsid w:val="00F05EA4"/>
    <w:rsid w:val="00F11DBD"/>
    <w:rsid w:val="00F31562"/>
    <w:rsid w:val="00F31F24"/>
    <w:rsid w:val="00F33DAF"/>
    <w:rsid w:val="00F51012"/>
    <w:rsid w:val="00F51C12"/>
    <w:rsid w:val="00F644C8"/>
    <w:rsid w:val="00F65E9C"/>
    <w:rsid w:val="00F66902"/>
    <w:rsid w:val="00F719EA"/>
    <w:rsid w:val="00F71E9C"/>
    <w:rsid w:val="00F732FB"/>
    <w:rsid w:val="00F93B25"/>
    <w:rsid w:val="00F940FF"/>
    <w:rsid w:val="00FE07E8"/>
    <w:rsid w:val="00FE2D5C"/>
    <w:rsid w:val="00FF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853AC"/>
  <w15:chartTrackingRefBased/>
  <w15:docId w15:val="{5D246EE4-42F6-419B-A604-07B07513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ECA"/>
    <w:pPr>
      <w:spacing w:after="200" w:line="480" w:lineRule="auto"/>
      <w:ind w:firstLine="72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ECA"/>
    <w:rPr>
      <w:szCs w:val="22"/>
    </w:rPr>
  </w:style>
  <w:style w:type="paragraph" w:styleId="Footer">
    <w:name w:val="footer"/>
    <w:basedOn w:val="Normal"/>
    <w:link w:val="FooterChar"/>
    <w:uiPriority w:val="99"/>
    <w:unhideWhenUsed/>
    <w:rsid w:val="00EF7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CA"/>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raore</dc:creator>
  <cp:keywords/>
  <dc:description/>
  <cp:lastModifiedBy>Windows User</cp:lastModifiedBy>
  <cp:revision>2</cp:revision>
  <dcterms:created xsi:type="dcterms:W3CDTF">2019-02-27T19:41:00Z</dcterms:created>
  <dcterms:modified xsi:type="dcterms:W3CDTF">2019-02-27T19:41:00Z</dcterms:modified>
</cp:coreProperties>
</file>